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A4001D" w:rsidRDefault="00A4001D" w:rsidP="004B30E9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RMK Hiiumaa metskonna ja</w:t>
      </w:r>
    </w:p>
    <w:p w:rsidR="00A4001D" w:rsidRDefault="00A4001D" w:rsidP="004B30E9">
      <w:pPr>
        <w:pStyle w:val="Lihttekst"/>
        <w:jc w:val="center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</w:t>
      </w:r>
      <w:r w:rsidR="00241420">
        <w:rPr>
          <w:rFonts w:ascii="Times New Roman" w:eastAsia="MS Mincho" w:hAnsi="Times New Roman" w:cs="Times New Roman"/>
          <w:sz w:val="24"/>
          <w:szCs w:val="24"/>
        </w:rPr>
        <w:t xml:space="preserve">     </w:t>
      </w:r>
      <w:r w:rsidR="001B67F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327C" w:rsidRPr="00E4327C">
        <w:rPr>
          <w:rFonts w:ascii="Times New Roman" w:eastAsia="MS Mincho" w:hAnsi="Times New Roman" w:cs="Times New Roman"/>
          <w:sz w:val="24"/>
          <w:szCs w:val="24"/>
        </w:rPr>
        <w:t>Hiiumaa Jahimeeste Selts</w:t>
      </w:r>
      <w:r w:rsidR="001B67F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lepingul</w:t>
      </w:r>
    </w:p>
    <w:p w:rsidR="00A4001D" w:rsidRDefault="00A4001D" w:rsidP="004B30E9">
      <w:pPr>
        <w:pStyle w:val="Lihttekst"/>
        <w:jc w:val="center"/>
        <w:rPr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</w:t>
      </w:r>
      <w:r w:rsidR="001B67F7">
        <w:rPr>
          <w:rFonts w:ascii="Times New Roman" w:eastAsia="MS Mincho" w:hAnsi="Times New Roman" w:cs="Times New Roman"/>
          <w:sz w:val="24"/>
          <w:szCs w:val="24"/>
        </w:rPr>
        <w:t>nr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="00E4327C">
        <w:rPr>
          <w:rFonts w:ascii="Times New Roman" w:eastAsia="MS Mincho" w:hAnsi="Times New Roman" w:cs="Times New Roman"/>
          <w:sz w:val="24"/>
          <w:szCs w:val="24"/>
        </w:rPr>
        <w:t>3-1.38/2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>
        <w:t xml:space="preserve"> </w:t>
      </w:r>
    </w:p>
    <w:p w:rsidR="001B67F7" w:rsidRDefault="001B67F7" w:rsidP="001B67F7">
      <w:pPr>
        <w:pStyle w:val="Default"/>
      </w:pPr>
    </w:p>
    <w:p w:rsidR="005E7A5C" w:rsidRPr="005E7A5C" w:rsidRDefault="001B67F7" w:rsidP="001B67F7">
      <w:pPr>
        <w:pStyle w:val="Lihttekst"/>
        <w:rPr>
          <w:rFonts w:ascii="Times New Roman" w:eastAsia="MS Mincho" w:hAnsi="Times New Roman" w:cs="Times New Roman"/>
          <w:b/>
          <w:sz w:val="24"/>
          <w:szCs w:val="24"/>
        </w:rPr>
      </w:pPr>
      <w:r>
        <w:t xml:space="preserve"> </w:t>
      </w:r>
      <w:r>
        <w:rPr>
          <w:sz w:val="22"/>
          <w:szCs w:val="22"/>
        </w:rPr>
        <w:t>/</w:t>
      </w:r>
      <w:r>
        <w:rPr>
          <w:i/>
          <w:iCs/>
          <w:sz w:val="22"/>
          <w:szCs w:val="22"/>
        </w:rPr>
        <w:t>Kuupäev vastavalt hilisemale digitaalallkirja kuupäevale/</w:t>
      </w: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4001D" w:rsidRDefault="00A4001D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Lihtteks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CA40D2" w:rsidRDefault="005E7A5C" w:rsidP="00CA40D2">
      <w:pPr>
        <w:pStyle w:val="Default"/>
      </w:pPr>
      <w:r>
        <w:rPr>
          <w:rFonts w:eastAsia="MS Mincho"/>
        </w:rPr>
        <w:t xml:space="preserve">RMK ja jahipiirkonna kasutaja on </w:t>
      </w:r>
      <w:r w:rsidRPr="005E7A5C">
        <w:rPr>
          <w:rFonts w:eastAsia="MS Mincho"/>
        </w:rPr>
        <w:t xml:space="preserve">kokku leppinud </w:t>
      </w:r>
      <w:r>
        <w:rPr>
          <w:rFonts w:eastAsia="MS Mincho"/>
        </w:rPr>
        <w:t xml:space="preserve">muuta </w:t>
      </w:r>
      <w:r w:rsidRPr="005E7A5C">
        <w:rPr>
          <w:rFonts w:eastAsia="MS Mincho"/>
        </w:rPr>
        <w:t xml:space="preserve">RMK ja </w:t>
      </w:r>
      <w:r w:rsidR="00E4327C">
        <w:rPr>
          <w:rFonts w:eastAsia="MS Mincho"/>
        </w:rPr>
        <w:t xml:space="preserve"> </w:t>
      </w:r>
      <w:r w:rsidR="00E4327C" w:rsidRPr="00E4327C">
        <w:rPr>
          <w:rFonts w:eastAsia="MS Mincho"/>
        </w:rPr>
        <w:t>Hiiumaa Jahimeeste Selts</w:t>
      </w:r>
      <w:r w:rsidR="00E4327C">
        <w:rPr>
          <w:rFonts w:eastAsia="MS Mincho"/>
        </w:rPr>
        <w:t>i Laasi jahtkonna</w:t>
      </w:r>
      <w:r w:rsidRPr="005E7A5C">
        <w:rPr>
          <w:rFonts w:eastAsia="MS Mincho"/>
        </w:rPr>
        <w:t xml:space="preserve"> </w:t>
      </w:r>
      <w:r>
        <w:rPr>
          <w:rFonts w:eastAsia="MS Mincho"/>
        </w:rPr>
        <w:t>riigimaa jahindusliku kasutu</w:t>
      </w:r>
      <w:r w:rsidRPr="005E7A5C">
        <w:rPr>
          <w:rFonts w:eastAsia="MS Mincho"/>
        </w:rPr>
        <w:t>se lepingu</w:t>
      </w:r>
      <w:r>
        <w:rPr>
          <w:rFonts w:eastAsia="MS Mincho"/>
        </w:rPr>
        <w:t>t</w:t>
      </w:r>
      <w:r w:rsidRPr="005E7A5C">
        <w:rPr>
          <w:rFonts w:eastAsia="MS Mincho"/>
        </w:rPr>
        <w:t xml:space="preserve"> </w:t>
      </w:r>
      <w:r w:rsidR="00E4327C">
        <w:rPr>
          <w:rFonts w:eastAsia="MS Mincho"/>
        </w:rPr>
        <w:t xml:space="preserve">                   </w:t>
      </w:r>
      <w:r w:rsidRPr="005E7A5C">
        <w:rPr>
          <w:rFonts w:eastAsia="MS Mincho"/>
        </w:rPr>
        <w:t>nr</w:t>
      </w:r>
      <w:r w:rsidR="00CA40D2">
        <w:rPr>
          <w:rFonts w:eastAsia="MS Mincho"/>
        </w:rPr>
        <w:t xml:space="preserve"> </w:t>
      </w:r>
      <w:r w:rsidRPr="005E7A5C">
        <w:rPr>
          <w:rFonts w:eastAsia="MS Mincho"/>
        </w:rPr>
        <w:t xml:space="preserve"> </w:t>
      </w:r>
      <w:r w:rsidR="00CA40D2">
        <w:t xml:space="preserve"> </w:t>
      </w:r>
      <w:r w:rsidR="001B67F7">
        <w:rPr>
          <w:b/>
          <w:bCs/>
          <w:sz w:val="22"/>
          <w:szCs w:val="22"/>
        </w:rPr>
        <w:t>3-1.38/8</w:t>
      </w:r>
      <w:r w:rsidR="00E4327C">
        <w:rPr>
          <w:b/>
          <w:bCs/>
          <w:sz w:val="22"/>
          <w:szCs w:val="22"/>
        </w:rPr>
        <w:t>2</w:t>
      </w:r>
      <w:r w:rsidRPr="005E7A5C">
        <w:rPr>
          <w:rFonts w:eastAsia="MS Mincho"/>
        </w:rPr>
        <w:t xml:space="preserve">      </w:t>
      </w:r>
      <w:r>
        <w:rPr>
          <w:rFonts w:eastAsia="MS Mincho"/>
        </w:rPr>
        <w:t xml:space="preserve">ja kehtestada leping uue muudetud  terviktekstina alljärgnevalt: </w:t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  <w:r w:rsidR="0019499C" w:rsidRPr="00D70CA0">
        <w:rPr>
          <w:rFonts w:eastAsia="MS Mincho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CF2DED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2523F9">
        <w:t xml:space="preserve"> </w:t>
      </w:r>
      <w:r w:rsidR="00CA40D2">
        <w:t xml:space="preserve">Hiiumaa metskonna </w:t>
      </w:r>
      <w:r w:rsidR="00726795" w:rsidRPr="00D70CA0">
        <w:t>metsaülem</w:t>
      </w:r>
      <w:r w:rsidRPr="00D70CA0">
        <w:rPr>
          <w:b/>
          <w:bCs/>
        </w:rPr>
        <w:t>,</w:t>
      </w:r>
      <w:r w:rsidRPr="00D70CA0">
        <w:t xml:space="preserve"> ühelt poolt,</w:t>
      </w:r>
      <w:r w:rsidR="00CF2DED">
        <w:t xml:space="preserve"> </w:t>
      </w:r>
      <w:r w:rsidRPr="00D70CA0">
        <w:t xml:space="preserve">ja </w:t>
      </w:r>
      <w:r w:rsidR="00336430" w:rsidRPr="00D70CA0">
        <w:t xml:space="preserve">jahipiirkonna </w:t>
      </w:r>
      <w:r w:rsidR="007D5B24" w:rsidRPr="00D70CA0">
        <w:t>kasutaja</w:t>
      </w:r>
      <w:r w:rsidR="00CF2DED">
        <w:t xml:space="preserve"> </w:t>
      </w:r>
      <w:r w:rsidR="00E4327C" w:rsidRPr="00E4327C">
        <w:t>Hiiumaa Jahimeeste Selts</w:t>
      </w:r>
      <w:r w:rsidRPr="00E4327C">
        <w:t>i</w:t>
      </w:r>
      <w:r w:rsidR="00E4327C" w:rsidRPr="00E4327C">
        <w:t xml:space="preserve"> Laasi jahipiirkonna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>keda esindab</w:t>
      </w:r>
      <w:r w:rsidR="00BF46F4">
        <w:t xml:space="preserve"> juhatuse liige Tiit Paulus ja</w:t>
      </w:r>
      <w:r w:rsidR="00CA40D2">
        <w:t xml:space="preserve"> </w:t>
      </w:r>
      <w:r w:rsidR="00E4327C">
        <w:rPr>
          <w:sz w:val="22"/>
          <w:szCs w:val="22"/>
        </w:rPr>
        <w:t>juhatuse liige Märt Rajaveer</w:t>
      </w:r>
      <w:r w:rsidR="00CA40D2">
        <w:rPr>
          <w:sz w:val="22"/>
          <w:szCs w:val="22"/>
        </w:rPr>
        <w:t xml:space="preserve"> </w:t>
      </w:r>
      <w:r w:rsidRPr="00D70CA0">
        <w:t xml:space="preserve"> /</w:t>
      </w:r>
      <w:r w:rsidRPr="00D70CA0">
        <w:rPr>
          <w:i/>
        </w:rPr>
        <w:t>esindusõiguse alus, ametinimetus, nimi</w:t>
      </w:r>
      <w:r w:rsidRPr="00D70CA0">
        <w:t>/, teiselt poolt,</w:t>
      </w:r>
    </w:p>
    <w:p w:rsidR="008968FA" w:rsidRPr="00D70CA0" w:rsidRDefault="008968FA" w:rsidP="008968FA">
      <w:pPr>
        <w:pStyle w:val="Kehateks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Kehatekst"/>
      </w:pPr>
    </w:p>
    <w:p w:rsidR="008968FA" w:rsidRPr="00D70CA0" w:rsidRDefault="008968FA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E4327C" w:rsidRDefault="008A198E" w:rsidP="00CA40D2">
      <w:pPr>
        <w:pStyle w:val="Lihttekst"/>
        <w:jc w:val="both"/>
        <w:rPr>
          <w:rFonts w:eastAsia="MS Mincho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jahipidamiseks</w:t>
      </w:r>
      <w:r w:rsidR="00E4327C">
        <w:rPr>
          <w:rFonts w:eastAsia="MS Mincho"/>
        </w:rPr>
        <w:t xml:space="preserve"> </w:t>
      </w:r>
      <w:r w:rsidR="00E4327C" w:rsidRPr="00E4327C">
        <w:rPr>
          <w:rFonts w:ascii="Times New Roman" w:eastAsia="MS Mincho" w:hAnsi="Times New Roman" w:cs="Times New Roman"/>
          <w:sz w:val="24"/>
          <w:szCs w:val="24"/>
        </w:rPr>
        <w:t>Hiiumaa Jahimeeste Selts</w:t>
      </w:r>
      <w:r w:rsidR="00E4327C">
        <w:rPr>
          <w:rFonts w:ascii="Times New Roman" w:eastAsia="MS Mincho" w:hAnsi="Times New Roman" w:cs="Times New Roman"/>
          <w:sz w:val="24"/>
          <w:szCs w:val="24"/>
        </w:rPr>
        <w:t xml:space="preserve"> Laasi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>jahipiirkonna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Allmrkuseviid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Liht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(repellendid)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Lihtteks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Lihtteks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B76C9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93D3F">
        <w:rPr>
          <w:rFonts w:ascii="Times New Roman" w:eastAsia="MS Mincho" w:hAnsi="Times New Roman" w:cs="Times New Roman"/>
          <w:sz w:val="24"/>
          <w:szCs w:val="24"/>
        </w:rPr>
        <w:t xml:space="preserve">Hiiumaa metskonna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A93D3F">
        <w:rPr>
          <w:rFonts w:ascii="Times New Roman" w:eastAsia="MS Mincho" w:hAnsi="Times New Roman" w:cs="Times New Roman"/>
          <w:sz w:val="24"/>
          <w:szCs w:val="24"/>
        </w:rPr>
        <w:t xml:space="preserve"> Lembit Lühi</w:t>
      </w:r>
    </w:p>
    <w:p w:rsidR="002C672D" w:rsidRPr="00D70CA0" w:rsidRDefault="00FD3512" w:rsidP="00FF51E9">
      <w:pPr>
        <w:pStyle w:val="Lihttekst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esindaja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:</w:t>
      </w:r>
      <w:r w:rsidR="00B76C9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93D3F">
        <w:rPr>
          <w:rFonts w:ascii="Times New Roman" w:eastAsia="MS Mincho" w:hAnsi="Times New Roman" w:cs="Times New Roman"/>
          <w:sz w:val="24"/>
          <w:szCs w:val="24"/>
        </w:rPr>
        <w:t xml:space="preserve">Juhatuse liige </w:t>
      </w:r>
      <w:r w:rsidR="007E1BD9">
        <w:rPr>
          <w:rFonts w:ascii="Times New Roman" w:eastAsia="MS Mincho" w:hAnsi="Times New Roman" w:cs="Times New Roman"/>
          <w:sz w:val="24"/>
          <w:szCs w:val="24"/>
        </w:rPr>
        <w:t>Märt Rajaveer</w:t>
      </w:r>
      <w:bookmarkStart w:id="0" w:name="_GoBack"/>
      <w:bookmarkEnd w:id="0"/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KASUTUSSE ANDJA</w:t>
      </w:r>
      <w:r>
        <w:rPr>
          <w:rFonts w:eastAsia="MS Mincho"/>
        </w:rPr>
        <w:t xml:space="preserve">                                     </w:t>
      </w:r>
      <w:r w:rsidRPr="00E4327C">
        <w:rPr>
          <w:rFonts w:eastAsia="MS Mincho"/>
        </w:rPr>
        <w:t xml:space="preserve"> KASUTAJA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RMK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Riigimetsa Majandamise Keskus</w:t>
      </w:r>
      <w:r>
        <w:rPr>
          <w:rFonts w:eastAsia="MS Mincho"/>
        </w:rPr>
        <w:t xml:space="preserve">          </w:t>
      </w:r>
      <w:r w:rsidRPr="00E4327C">
        <w:rPr>
          <w:rFonts w:eastAsia="MS Mincho"/>
        </w:rPr>
        <w:t xml:space="preserve"> Hiiumaa Jahimeeste Selts (Laasi jahipiirkond)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 xml:space="preserve">Registrikood: 70004459 </w:t>
      </w:r>
      <w:r>
        <w:rPr>
          <w:rFonts w:eastAsia="MS Mincho"/>
        </w:rPr>
        <w:t xml:space="preserve">                            </w:t>
      </w:r>
      <w:r w:rsidRPr="00E4327C">
        <w:rPr>
          <w:rFonts w:eastAsia="MS Mincho"/>
        </w:rPr>
        <w:t>Registrikood 80049859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Toompuiestee 24, Tallinn 10149</w:t>
      </w:r>
      <w:r>
        <w:rPr>
          <w:rFonts w:eastAsia="MS Mincho"/>
        </w:rPr>
        <w:t xml:space="preserve">            </w:t>
      </w:r>
      <w:r w:rsidR="00BF46F4">
        <w:rPr>
          <w:rFonts w:eastAsia="MS Mincho"/>
        </w:rPr>
        <w:t xml:space="preserve">  </w:t>
      </w:r>
      <w:r w:rsidRPr="00E4327C">
        <w:rPr>
          <w:rFonts w:eastAsia="MS Mincho"/>
        </w:rPr>
        <w:t xml:space="preserve"> Väike-Tiigi 8, Kärdla, 92411 Hiiu maakond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RMK Hiiumaa metskond Tel nr 463 1021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Väike-Tiigi 8, Kärdla, 92411 Hiiu maakond</w:t>
      </w:r>
      <w:r>
        <w:rPr>
          <w:rFonts w:eastAsia="MS Mincho"/>
        </w:rPr>
        <w:t xml:space="preserve">        </w:t>
      </w:r>
      <w:r w:rsidRPr="00E4327C">
        <w:rPr>
          <w:rFonts w:eastAsia="MS Mincho"/>
        </w:rPr>
        <w:t xml:space="preserve"> e-post hiiu.jahindus@gmail.com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Tel nr 676 7996</w:t>
      </w: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e-post hiiumaa@rmk.ee</w:t>
      </w:r>
    </w:p>
    <w:p w:rsidR="00BF46F4" w:rsidRDefault="00BF46F4" w:rsidP="00E4327C">
      <w:pPr>
        <w:rPr>
          <w:rFonts w:eastAsia="MS Mincho"/>
        </w:rPr>
      </w:pP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>Poolte esindajate allkirjad:</w:t>
      </w:r>
    </w:p>
    <w:p w:rsidR="00BF46F4" w:rsidRDefault="00BF46F4" w:rsidP="00E4327C">
      <w:pPr>
        <w:rPr>
          <w:rFonts w:eastAsia="MS Mincho"/>
        </w:rPr>
      </w:pPr>
    </w:p>
    <w:p w:rsidR="00E4327C" w:rsidRPr="00E4327C" w:rsidRDefault="00BF46F4" w:rsidP="00E4327C">
      <w:pPr>
        <w:rPr>
          <w:rFonts w:eastAsia="MS Mincho"/>
        </w:rPr>
      </w:pPr>
      <w:r>
        <w:rPr>
          <w:rFonts w:eastAsia="MS Mincho"/>
        </w:rPr>
        <w:t xml:space="preserve">/allkirjastatud digitaalselt/                                / </w:t>
      </w:r>
      <w:r w:rsidR="00E4327C" w:rsidRPr="00E4327C">
        <w:rPr>
          <w:rFonts w:eastAsia="MS Mincho"/>
        </w:rPr>
        <w:t xml:space="preserve">allkirjastatud </w:t>
      </w:r>
      <w:r>
        <w:rPr>
          <w:rFonts w:eastAsia="MS Mincho"/>
        </w:rPr>
        <w:t xml:space="preserve"> </w:t>
      </w:r>
      <w:r w:rsidR="00E4327C" w:rsidRPr="00E4327C">
        <w:rPr>
          <w:rFonts w:eastAsia="MS Mincho"/>
        </w:rPr>
        <w:t>digitaalselt/ /</w:t>
      </w:r>
    </w:p>
    <w:p w:rsidR="00BF46F4" w:rsidRDefault="00BF46F4" w:rsidP="00E4327C">
      <w:pPr>
        <w:rPr>
          <w:rFonts w:eastAsia="MS Mincho"/>
        </w:rPr>
      </w:pPr>
    </w:p>
    <w:p w:rsidR="00E4327C" w:rsidRP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 xml:space="preserve">Lembit Lühi </w:t>
      </w:r>
      <w:r>
        <w:rPr>
          <w:rFonts w:eastAsia="MS Mincho"/>
        </w:rPr>
        <w:t xml:space="preserve">                                                               </w:t>
      </w:r>
      <w:r w:rsidRPr="00E4327C">
        <w:rPr>
          <w:rFonts w:eastAsia="MS Mincho"/>
        </w:rPr>
        <w:t xml:space="preserve">Tiit Paulus </w:t>
      </w:r>
      <w:r>
        <w:rPr>
          <w:rFonts w:eastAsia="MS Mincho"/>
        </w:rPr>
        <w:t xml:space="preserve">    Märt Rajaveer</w:t>
      </w:r>
    </w:p>
    <w:p w:rsidR="00E4327C" w:rsidRDefault="00E4327C" w:rsidP="00E4327C">
      <w:pPr>
        <w:rPr>
          <w:rFonts w:eastAsia="MS Mincho"/>
        </w:rPr>
      </w:pPr>
      <w:r w:rsidRPr="00E4327C">
        <w:rPr>
          <w:rFonts w:eastAsia="MS Mincho"/>
        </w:rPr>
        <w:t xml:space="preserve">Metsaülem </w:t>
      </w:r>
      <w:r>
        <w:rPr>
          <w:rFonts w:eastAsia="MS Mincho"/>
        </w:rPr>
        <w:t xml:space="preserve">                                                              </w:t>
      </w:r>
      <w:r w:rsidRPr="00E4327C">
        <w:rPr>
          <w:rFonts w:eastAsia="MS Mincho"/>
        </w:rPr>
        <w:t xml:space="preserve">Juhatuse liige </w:t>
      </w:r>
      <w:r>
        <w:rPr>
          <w:rFonts w:eastAsia="MS Mincho"/>
        </w:rPr>
        <w:t xml:space="preserve">   </w:t>
      </w:r>
      <w:r w:rsidRPr="00E4327C">
        <w:rPr>
          <w:rFonts w:eastAsia="MS Mincho"/>
        </w:rPr>
        <w:t>Juhatuse liige</w:t>
      </w:r>
    </w:p>
    <w:p w:rsidR="00A93D3F" w:rsidRPr="00D70CA0" w:rsidRDefault="00A93D3F" w:rsidP="001B67F7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</w:t>
      </w:r>
    </w:p>
    <w:p w:rsidR="00A93D3F" w:rsidRDefault="00A93D3F" w:rsidP="00A93D3F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</w:t>
      </w:r>
    </w:p>
    <w:p w:rsidR="00A93D3F" w:rsidRDefault="00A93D3F" w:rsidP="00A93D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</w:p>
    <w:tbl>
      <w:tblPr>
        <w:tblW w:w="19218" w:type="dxa"/>
        <w:tblInd w:w="-1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11"/>
        <w:gridCol w:w="1020"/>
        <w:gridCol w:w="1660"/>
        <w:gridCol w:w="1567"/>
        <w:gridCol w:w="1460"/>
        <w:gridCol w:w="1100"/>
      </w:tblGrid>
      <w:tr w:rsidR="00F64623" w:rsidRPr="00D70CA0" w:rsidTr="00241420">
        <w:trPr>
          <w:trHeight w:val="240"/>
        </w:trPr>
        <w:tc>
          <w:tcPr>
            <w:tcW w:w="1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Lisa 1</w:t>
            </w:r>
          </w:p>
        </w:tc>
      </w:tr>
      <w:tr w:rsidR="00F64623" w:rsidRPr="00D70CA0" w:rsidTr="00241420">
        <w:trPr>
          <w:trHeight w:val="240"/>
        </w:trPr>
        <w:tc>
          <w:tcPr>
            <w:tcW w:w="16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  <w:tr w:rsidR="00F64623" w:rsidRPr="00D70CA0" w:rsidTr="00241420">
        <w:trPr>
          <w:trHeight w:val="240"/>
        </w:trPr>
        <w:tc>
          <w:tcPr>
            <w:tcW w:w="16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4623" w:rsidRPr="00D70CA0" w:rsidRDefault="00F64623" w:rsidP="00B043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</w:tbl>
    <w:p w:rsidR="00212025" w:rsidRPr="00D70CA0" w:rsidRDefault="00212025" w:rsidP="00241420">
      <w:pPr>
        <w:pStyle w:val="Lihtteks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sectPr w:rsidR="00212025" w:rsidRPr="00D70CA0">
      <w:headerReference w:type="even" r:id="rId8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022" w:rsidRDefault="00D03022">
      <w:r>
        <w:separator/>
      </w:r>
    </w:p>
  </w:endnote>
  <w:endnote w:type="continuationSeparator" w:id="0">
    <w:p w:rsidR="00D03022" w:rsidRDefault="00D0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022" w:rsidRDefault="00D03022">
      <w:r>
        <w:separator/>
      </w:r>
    </w:p>
  </w:footnote>
  <w:footnote w:type="continuationSeparator" w:id="0">
    <w:p w:rsidR="00D03022" w:rsidRDefault="00D03022">
      <w:r>
        <w:continuationSeparator/>
      </w:r>
    </w:p>
  </w:footnote>
  <w:footnote w:id="1">
    <w:p w:rsidR="00670EC8" w:rsidRDefault="00670EC8">
      <w:pPr>
        <w:pStyle w:val="Allmrkusetekst"/>
      </w:pPr>
      <w:r>
        <w:rPr>
          <w:rStyle w:val="Allmrkuseviid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213349" w:rsidRDefault="0021334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4A"/>
    <w:rsid w:val="00026AD6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54F"/>
    <w:rsid w:val="00106AA2"/>
    <w:rsid w:val="001164D7"/>
    <w:rsid w:val="00125FDC"/>
    <w:rsid w:val="00157647"/>
    <w:rsid w:val="00163187"/>
    <w:rsid w:val="001809B9"/>
    <w:rsid w:val="00183D74"/>
    <w:rsid w:val="0019499C"/>
    <w:rsid w:val="00195DA7"/>
    <w:rsid w:val="001B67F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1420"/>
    <w:rsid w:val="00244785"/>
    <w:rsid w:val="002523F9"/>
    <w:rsid w:val="00276C0E"/>
    <w:rsid w:val="0028117D"/>
    <w:rsid w:val="00296EAC"/>
    <w:rsid w:val="002B681F"/>
    <w:rsid w:val="002C0A73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36AAE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95851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7374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B0D47"/>
    <w:rsid w:val="007B74F2"/>
    <w:rsid w:val="007B7D9B"/>
    <w:rsid w:val="007D501D"/>
    <w:rsid w:val="007D5B24"/>
    <w:rsid w:val="007E1BD9"/>
    <w:rsid w:val="008031ED"/>
    <w:rsid w:val="00804E26"/>
    <w:rsid w:val="00806D71"/>
    <w:rsid w:val="008162B9"/>
    <w:rsid w:val="00826191"/>
    <w:rsid w:val="00830695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01D"/>
    <w:rsid w:val="00A40CBE"/>
    <w:rsid w:val="00A466EC"/>
    <w:rsid w:val="00A51858"/>
    <w:rsid w:val="00A5744E"/>
    <w:rsid w:val="00A64311"/>
    <w:rsid w:val="00A64574"/>
    <w:rsid w:val="00A6469A"/>
    <w:rsid w:val="00A73A6F"/>
    <w:rsid w:val="00A761F0"/>
    <w:rsid w:val="00A8295D"/>
    <w:rsid w:val="00A906AA"/>
    <w:rsid w:val="00A93D3F"/>
    <w:rsid w:val="00A94673"/>
    <w:rsid w:val="00AE0EE5"/>
    <w:rsid w:val="00AE6F5A"/>
    <w:rsid w:val="00AF1753"/>
    <w:rsid w:val="00AF3B0C"/>
    <w:rsid w:val="00AF47A8"/>
    <w:rsid w:val="00B043B6"/>
    <w:rsid w:val="00B15B20"/>
    <w:rsid w:val="00B50339"/>
    <w:rsid w:val="00B523BD"/>
    <w:rsid w:val="00B64D7F"/>
    <w:rsid w:val="00B6547C"/>
    <w:rsid w:val="00B76C9E"/>
    <w:rsid w:val="00B83C49"/>
    <w:rsid w:val="00B85A66"/>
    <w:rsid w:val="00B86189"/>
    <w:rsid w:val="00BA722F"/>
    <w:rsid w:val="00BB0182"/>
    <w:rsid w:val="00BB5F92"/>
    <w:rsid w:val="00BD69CC"/>
    <w:rsid w:val="00BD6DDF"/>
    <w:rsid w:val="00BF067B"/>
    <w:rsid w:val="00BF46F4"/>
    <w:rsid w:val="00BF5F98"/>
    <w:rsid w:val="00C263F2"/>
    <w:rsid w:val="00C44CF5"/>
    <w:rsid w:val="00C83328"/>
    <w:rsid w:val="00C83F7A"/>
    <w:rsid w:val="00C91B1F"/>
    <w:rsid w:val="00CA40D2"/>
    <w:rsid w:val="00CA7227"/>
    <w:rsid w:val="00CB55F4"/>
    <w:rsid w:val="00CB6E02"/>
    <w:rsid w:val="00CC1BEE"/>
    <w:rsid w:val="00CC29F7"/>
    <w:rsid w:val="00CD10E6"/>
    <w:rsid w:val="00CE3130"/>
    <w:rsid w:val="00CF2DED"/>
    <w:rsid w:val="00CF6F43"/>
    <w:rsid w:val="00D03022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327C"/>
    <w:rsid w:val="00E45703"/>
    <w:rsid w:val="00E46C1F"/>
    <w:rsid w:val="00E5363A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2FF5"/>
    <w:rsid w:val="00EB3EE4"/>
    <w:rsid w:val="00EB7E79"/>
    <w:rsid w:val="00EC2865"/>
    <w:rsid w:val="00EC7819"/>
    <w:rsid w:val="00ED20F9"/>
    <w:rsid w:val="00ED592B"/>
    <w:rsid w:val="00EE03DC"/>
    <w:rsid w:val="00EE41B4"/>
    <w:rsid w:val="00F20FF7"/>
    <w:rsid w:val="00F239F7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1AA8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2523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5">
    <w:name w:val="heading 5"/>
    <w:basedOn w:val="Normaallaad"/>
    <w:next w:val="Normaallaad"/>
    <w:qFormat/>
    <w:pPr>
      <w:keepNext/>
      <w:ind w:left="5040"/>
      <w:jc w:val="both"/>
      <w:outlineLvl w:val="4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rPr>
      <w:rFonts w:ascii="Courier New" w:hAnsi="Courier New" w:cs="Courier New"/>
      <w:sz w:val="20"/>
      <w:szCs w:val="20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HTML-eelvormindatud">
    <w:name w:val="HTML Preformatted"/>
    <w:basedOn w:val="Normaall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perlink">
    <w:name w:val="Hyperlink"/>
    <w:rPr>
      <w:color w:val="1B7272"/>
      <w:u w:val="single"/>
    </w:rPr>
  </w:style>
  <w:style w:type="character" w:styleId="Tugev">
    <w:name w:val="Strong"/>
    <w:qFormat/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Pr>
      <w:sz w:val="20"/>
      <w:szCs w:val="20"/>
    </w:rPr>
  </w:style>
  <w:style w:type="paragraph" w:styleId="Kehatekst">
    <w:name w:val="Body Text"/>
    <w:basedOn w:val="Normaallaad"/>
    <w:pPr>
      <w:jc w:val="both"/>
    </w:pPr>
  </w:style>
  <w:style w:type="paragraph" w:styleId="Taandegakehatekst3">
    <w:name w:val="Body Text Indent 3"/>
    <w:basedOn w:val="Normaallaad"/>
    <w:pPr>
      <w:ind w:left="4320"/>
      <w:jc w:val="both"/>
    </w:pPr>
    <w:rPr>
      <w:szCs w:val="20"/>
    </w:rPr>
  </w:style>
  <w:style w:type="paragraph" w:styleId="Jutumullitekst">
    <w:name w:val="Balloon Text"/>
    <w:basedOn w:val="Normaallaad"/>
    <w:link w:val="JutumullitekstMrk"/>
    <w:rsid w:val="00F9258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F9258D"/>
    <w:rPr>
      <w:rFonts w:ascii="Tahoma" w:hAnsi="Tahoma" w:cs="Tahoma"/>
      <w:sz w:val="16"/>
      <w:szCs w:val="16"/>
      <w:lang w:eastAsia="en-US"/>
    </w:rPr>
  </w:style>
  <w:style w:type="table" w:styleId="Kontuurtabel">
    <w:name w:val="Table Grid"/>
    <w:basedOn w:val="Normaaltabe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rsid w:val="00106AA2"/>
    <w:rPr>
      <w:sz w:val="20"/>
      <w:szCs w:val="20"/>
    </w:rPr>
  </w:style>
  <w:style w:type="character" w:customStyle="1" w:styleId="AllmrkusetekstMrk">
    <w:name w:val="Allmärkuse tekst Märk"/>
    <w:link w:val="Allmrkusetekst"/>
    <w:rsid w:val="00106AA2"/>
    <w:rPr>
      <w:lang w:eastAsia="en-US"/>
    </w:rPr>
  </w:style>
  <w:style w:type="character" w:styleId="Allmrkuseviide">
    <w:name w:val="footnote reference"/>
    <w:rsid w:val="00106AA2"/>
    <w:rPr>
      <w:vertAlign w:val="superscript"/>
    </w:rPr>
  </w:style>
  <w:style w:type="paragraph" w:styleId="Kommentaariteema">
    <w:name w:val="annotation subject"/>
    <w:basedOn w:val="Kommentaaritekst"/>
    <w:next w:val="Kommentaaritekst"/>
    <w:link w:val="KommentaariteemaMrk"/>
    <w:rsid w:val="003D5629"/>
    <w:rPr>
      <w:b/>
      <w:bCs/>
    </w:rPr>
  </w:style>
  <w:style w:type="character" w:customStyle="1" w:styleId="KommentaaritekstMrk">
    <w:name w:val="Kommentaari tekst Märk"/>
    <w:link w:val="Kommentaaritekst"/>
    <w:semiHidden/>
    <w:rsid w:val="003D5629"/>
    <w:rPr>
      <w:lang w:eastAsia="en-US"/>
    </w:rPr>
  </w:style>
  <w:style w:type="character" w:customStyle="1" w:styleId="KommentaariteemaMrk">
    <w:name w:val="Kommentaari teema Märk"/>
    <w:link w:val="Kommentaariteema"/>
    <w:rsid w:val="003D5629"/>
    <w:rPr>
      <w:b/>
      <w:bCs/>
      <w:lang w:eastAsia="en-US"/>
    </w:rPr>
  </w:style>
  <w:style w:type="paragraph" w:styleId="Jalus">
    <w:name w:val="footer"/>
    <w:basedOn w:val="Normaallaad"/>
    <w:link w:val="JalusMrk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536A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2523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apealkiriMrk">
    <w:name w:val="Alapealkiri Märk"/>
    <w:basedOn w:val="Liguvaikefont"/>
    <w:link w:val="Alapealkiri"/>
    <w:rsid w:val="002523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252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2523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5">
    <w:name w:val="heading 5"/>
    <w:basedOn w:val="Normaallaad"/>
    <w:next w:val="Normaallaad"/>
    <w:qFormat/>
    <w:pPr>
      <w:keepNext/>
      <w:ind w:left="5040"/>
      <w:jc w:val="both"/>
      <w:outlineLvl w:val="4"/>
    </w:pPr>
    <w:rPr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rPr>
      <w:rFonts w:ascii="Courier New" w:hAnsi="Courier New" w:cs="Courier New"/>
      <w:sz w:val="20"/>
      <w:szCs w:val="20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HTML-eelvormindatud">
    <w:name w:val="HTML Preformatted"/>
    <w:basedOn w:val="Normaall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perlink">
    <w:name w:val="Hyperlink"/>
    <w:rPr>
      <w:color w:val="1B7272"/>
      <w:u w:val="single"/>
    </w:rPr>
  </w:style>
  <w:style w:type="character" w:styleId="Tugev">
    <w:name w:val="Strong"/>
    <w:qFormat/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Pr>
      <w:sz w:val="20"/>
      <w:szCs w:val="20"/>
    </w:rPr>
  </w:style>
  <w:style w:type="paragraph" w:styleId="Kehatekst">
    <w:name w:val="Body Text"/>
    <w:basedOn w:val="Normaallaad"/>
    <w:pPr>
      <w:jc w:val="both"/>
    </w:pPr>
  </w:style>
  <w:style w:type="paragraph" w:styleId="Taandegakehatekst3">
    <w:name w:val="Body Text Indent 3"/>
    <w:basedOn w:val="Normaallaad"/>
    <w:pPr>
      <w:ind w:left="4320"/>
      <w:jc w:val="both"/>
    </w:pPr>
    <w:rPr>
      <w:szCs w:val="20"/>
    </w:rPr>
  </w:style>
  <w:style w:type="paragraph" w:styleId="Jutumullitekst">
    <w:name w:val="Balloon Text"/>
    <w:basedOn w:val="Normaallaad"/>
    <w:link w:val="JutumullitekstMrk"/>
    <w:rsid w:val="00F9258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F9258D"/>
    <w:rPr>
      <w:rFonts w:ascii="Tahoma" w:hAnsi="Tahoma" w:cs="Tahoma"/>
      <w:sz w:val="16"/>
      <w:szCs w:val="16"/>
      <w:lang w:eastAsia="en-US"/>
    </w:rPr>
  </w:style>
  <w:style w:type="table" w:styleId="Kontuurtabel">
    <w:name w:val="Table Grid"/>
    <w:basedOn w:val="Normaaltabe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rsid w:val="00106AA2"/>
    <w:rPr>
      <w:sz w:val="20"/>
      <w:szCs w:val="20"/>
    </w:rPr>
  </w:style>
  <w:style w:type="character" w:customStyle="1" w:styleId="AllmrkusetekstMrk">
    <w:name w:val="Allmärkuse tekst Märk"/>
    <w:link w:val="Allmrkusetekst"/>
    <w:rsid w:val="00106AA2"/>
    <w:rPr>
      <w:lang w:eastAsia="en-US"/>
    </w:rPr>
  </w:style>
  <w:style w:type="character" w:styleId="Allmrkuseviide">
    <w:name w:val="footnote reference"/>
    <w:rsid w:val="00106AA2"/>
    <w:rPr>
      <w:vertAlign w:val="superscript"/>
    </w:rPr>
  </w:style>
  <w:style w:type="paragraph" w:styleId="Kommentaariteema">
    <w:name w:val="annotation subject"/>
    <w:basedOn w:val="Kommentaaritekst"/>
    <w:next w:val="Kommentaaritekst"/>
    <w:link w:val="KommentaariteemaMrk"/>
    <w:rsid w:val="003D5629"/>
    <w:rPr>
      <w:b/>
      <w:bCs/>
    </w:rPr>
  </w:style>
  <w:style w:type="character" w:customStyle="1" w:styleId="KommentaaritekstMrk">
    <w:name w:val="Kommentaari tekst Märk"/>
    <w:link w:val="Kommentaaritekst"/>
    <w:semiHidden/>
    <w:rsid w:val="003D5629"/>
    <w:rPr>
      <w:lang w:eastAsia="en-US"/>
    </w:rPr>
  </w:style>
  <w:style w:type="character" w:customStyle="1" w:styleId="KommentaariteemaMrk">
    <w:name w:val="Kommentaari teema Märk"/>
    <w:link w:val="Kommentaariteema"/>
    <w:rsid w:val="003D5629"/>
    <w:rPr>
      <w:b/>
      <w:bCs/>
      <w:lang w:eastAsia="en-US"/>
    </w:rPr>
  </w:style>
  <w:style w:type="paragraph" w:styleId="Jalus">
    <w:name w:val="footer"/>
    <w:basedOn w:val="Normaallaad"/>
    <w:link w:val="JalusMrk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536A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2523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apealkiriMrk">
    <w:name w:val="Alapealkiri Märk"/>
    <w:basedOn w:val="Liguvaikefont"/>
    <w:link w:val="Alapealkiri"/>
    <w:rsid w:val="002523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2523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mbitl\Downloads\rmk%20jahimaade%20kasutamise%20lepingu%20terviktekst%2029082017%20(1)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FBC6C-DAD7-4CFA-8B65-1816261C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 (1)</Template>
  <TotalTime>1</TotalTime>
  <Pages>4</Pages>
  <Words>1904</Words>
  <Characters>11049</Characters>
  <Application>Microsoft Office Word</Application>
  <DocSecurity>0</DocSecurity>
  <Lines>92</Lines>
  <Paragraphs>25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Lembit Lühi</dc:creator>
  <cp:lastModifiedBy>Lembit Lühi</cp:lastModifiedBy>
  <cp:revision>4</cp:revision>
  <cp:lastPrinted>2017-03-21T13:38:00Z</cp:lastPrinted>
  <dcterms:created xsi:type="dcterms:W3CDTF">2017-09-28T10:21:00Z</dcterms:created>
  <dcterms:modified xsi:type="dcterms:W3CDTF">2017-10-05T09:09:00Z</dcterms:modified>
</cp:coreProperties>
</file>